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0B" w:rsidRPr="00796D0B" w:rsidRDefault="00796D0B" w:rsidP="00796D0B">
      <w:pPr>
        <w:spacing w:after="0" w:line="240" w:lineRule="auto"/>
        <w:jc w:val="right"/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</w:pP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>Հավելված N 1</w:t>
      </w:r>
      <w:r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>,1</w:t>
      </w:r>
    </w:p>
    <w:p w:rsidR="00796D0B" w:rsidRPr="00796D0B" w:rsidRDefault="00796D0B" w:rsidP="00796D0B">
      <w:pPr>
        <w:spacing w:after="0" w:line="240" w:lineRule="auto"/>
        <w:jc w:val="right"/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</w:pP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>«____» ______</w:t>
      </w:r>
      <w:r w:rsidRPr="00796D0B">
        <w:rPr>
          <w:rFonts w:ascii="GHEA Grapalat" w:eastAsia="Times New Roman" w:hAnsi="GHEA Grapalat" w:cs="Calibri"/>
          <w:b/>
          <w:i/>
          <w:sz w:val="24"/>
          <w:szCs w:val="24"/>
          <w:u w:val="single"/>
          <w:lang w:val="hy-AM"/>
        </w:rPr>
        <w:t>20</w:t>
      </w:r>
      <w:r>
        <w:rPr>
          <w:rFonts w:ascii="GHEA Grapalat" w:eastAsia="Times New Roman" w:hAnsi="GHEA Grapalat" w:cs="Calibri"/>
          <w:b/>
          <w:i/>
          <w:sz w:val="24"/>
          <w:szCs w:val="24"/>
          <w:u w:val="single"/>
          <w:lang w:val="hy-AM"/>
        </w:rPr>
        <w:t>26</w:t>
      </w: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 xml:space="preserve">թ. կնքված </w:t>
      </w:r>
    </w:p>
    <w:p w:rsidR="00796D0B" w:rsidRPr="00796D0B" w:rsidRDefault="00796D0B" w:rsidP="00796D0B">
      <w:pPr>
        <w:spacing w:after="0" w:line="240" w:lineRule="auto"/>
        <w:jc w:val="right"/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</w:pP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 xml:space="preserve">                      </w:t>
      </w: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>N ՀՀ-ԱՄ-ԱՀ-ԷԱՃԾՁԲ-58/26</w:t>
      </w:r>
      <w:r w:rsidRPr="00796D0B">
        <w:rPr>
          <w:rFonts w:ascii="GHEA Grapalat" w:eastAsia="Times New Roman" w:hAnsi="GHEA Grapalat" w:cs="Calibri"/>
          <w:b/>
          <w:i/>
          <w:sz w:val="24"/>
          <w:szCs w:val="24"/>
          <w:lang w:val="hy-AM"/>
        </w:rPr>
        <w:t>ծածկագրով պայմանագրի</w:t>
      </w:r>
    </w:p>
    <w:p w:rsidR="00796D0B" w:rsidRPr="00796D0B" w:rsidRDefault="00796D0B" w:rsidP="00796D0B">
      <w:pPr>
        <w:spacing w:after="0" w:line="240" w:lineRule="auto"/>
        <w:jc w:val="center"/>
        <w:rPr>
          <w:rFonts w:ascii="Calibri" w:eastAsia="Times New Roman" w:hAnsi="Calibri" w:cs="Calibri"/>
          <w:sz w:val="18"/>
          <w:szCs w:val="24"/>
          <w:lang w:val="hy-AM"/>
        </w:rPr>
      </w:pPr>
    </w:p>
    <w:p w:rsidR="00796D0B" w:rsidRDefault="00796D0B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</w:p>
    <w:p w:rsidR="00796D0B" w:rsidRDefault="00796D0B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</w:p>
    <w:p w:rsidR="00CC4E12" w:rsidRPr="00CC4E12" w:rsidRDefault="00CC4E12" w:rsidP="00CC4E12">
      <w:pPr>
        <w:tabs>
          <w:tab w:val="left" w:pos="8672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ԾԱՌԱՅՈՒԹՅԱՆ ՏԵԽՆԻԿԱԿԱՆ ԲՆՈՒԹԱԳԻՐ</w:t>
      </w:r>
    </w:p>
    <w:p w:rsidR="00CC4E12" w:rsidRPr="00CC4E12" w:rsidRDefault="00CC4E12" w:rsidP="00CC4E12">
      <w:pPr>
        <w:spacing w:after="0" w:line="240" w:lineRule="auto"/>
        <w:ind w:left="990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ՆԵՐՔԻՆ ԱՈՒԴԻՏԻ ԾԱՌԱՅՈՒԹՅԱՆ ՇՐՋԱՆԱԿԸ</w:t>
      </w:r>
    </w:p>
    <w:p w:rsidR="00CC4E12" w:rsidRPr="00CC4E12" w:rsidRDefault="00CC4E12" w:rsidP="00CC4E12">
      <w:pPr>
        <w:spacing w:after="0" w:line="240" w:lineRule="auto"/>
        <w:ind w:left="284" w:firstLine="526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284" w:firstLine="526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Ներքին աուդիտի ծառայությունների մատուցման նպատակով հրավիրված անձը (այսուհետ՝ Կատարող) պետք է գնահատի Ապարանի  համայնքապետարանի (այսուհետ՝ Պատվիրատու) ներքին աուդիտի միջավայրը՝ ֆինանսական կառավարման և հսկողության հետ կապված գործառույթները՝ իրականացնելով «Ներքին աուդիտի մասին» ՀՀ օրենքով և  ՀՀ ֆինանսների նախարարի 2012 թվականի փետրվարի 17-ի N 143-Ն հրամանով (այսուհետ՝ N 143-Ն հրաման) սահմանված ներքին աուդիտի տեսակները, որը ներառում է՝ </w:t>
      </w:r>
    </w:p>
    <w:p w:rsidR="00CC4E12" w:rsidRPr="00CC4E12" w:rsidRDefault="00CC4E12" w:rsidP="00CC4E12">
      <w:pPr>
        <w:numPr>
          <w:ilvl w:val="0"/>
          <w:numId w:val="2"/>
        </w:numPr>
        <w:spacing w:after="0" w:line="240" w:lineRule="auto"/>
        <w:ind w:left="993" w:hanging="284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Հավաստիացման տրամադրում (համապատասխանաության  աուդիտ, կատարողականի աուդիտ, համապատասխանության և կատարողականի աուդիտի տեսակների համակցություն),</w:t>
      </w:r>
    </w:p>
    <w:p w:rsidR="00CC4E12" w:rsidRPr="00CC4E12" w:rsidRDefault="00CC4E12" w:rsidP="00CC4E12">
      <w:pPr>
        <w:numPr>
          <w:ilvl w:val="0"/>
          <w:numId w:val="2"/>
        </w:numPr>
        <w:spacing w:after="0" w:line="240" w:lineRule="auto"/>
        <w:ind w:left="993" w:hanging="284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Խորհրդատվություն:</w:t>
      </w:r>
    </w:p>
    <w:p w:rsidR="00CC4E12" w:rsidRPr="00CC4E12" w:rsidRDefault="00CC4E12" w:rsidP="00CC4E12">
      <w:pPr>
        <w:spacing w:after="0" w:line="240" w:lineRule="auto"/>
        <w:ind w:left="284" w:firstLine="283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սույն տեխնիկական բնութագրում թվարկված իրավական ակտերին համապատասխան առաջարկների ներկայացման միջոցով պետք է օժանդակի ղեկավարությանը ձեռնարկել միջոցառումներ՝ կազմակերպության նպատակներին հասնելու և դրանում հնարավոր ռիսկերը կառավարելու համար:</w:t>
      </w:r>
    </w:p>
    <w:p w:rsidR="00CC4E12" w:rsidRPr="00CC4E12" w:rsidRDefault="00CC4E12" w:rsidP="00CC4E12">
      <w:pPr>
        <w:spacing w:after="0" w:line="240" w:lineRule="auto"/>
        <w:ind w:left="284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ab/>
        <w:t>Ներքին աուդիտը հանդիսանում է անկախ, օբյեկտիվ հավաստիացման և խորհրդատվական գործառույթ, որն ուղղված է կազմակերպության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արդյունքները, այսինքն՝ կազմակերպության ներրքին հսկողության ողջ համակարգը՝ ներառյալ բոլոր գործառույթները, ռեսուրսները, ծառայությունները, գործընթացները, ծրագրերը և այլ իրավահարաբերություններից առաջացող խնդիրները, որի մատուցման նպատակով Կատարողը պետք է՝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Իրականացնի կազմակերպության ներքին աուդիտի միջավայրի ուսումնասիրություն,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Նկարագրի ներքին աուդիտի իրականացման ոլորտները, աուդիտի ենթակա ստորաբաժանումների մասնակցության առանձնահատկությունները, ինչպես նաև աջակցությունը,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Կազմակերպության ղեկավարությանը պատշաճ գնահատական ներկայացնի կազմակերպության ներքին հսկողության համակարգի համապատասխանության, հուսալիության և արդյունավետության մասին,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Գնահատի ֆինանսական կառավարման և հսկողության համակարգերը՝ կազմակերպության ղեկավարության կողմից սահմանված կանոնների (քաղաքականության), ընթացակարգերի և գործողությունների ամբողջությունը,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Կազմակերպության կառավարչական գործընթացների, ներքին հսկողության համակարգի, ռիսկերի կառավարման (ռիսկերի բացահայտման, գնահատման և հսկման)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Հավաստիացնի կազմակերպության ղեկավարին (այսուհետ՝ Ղեկավար) և ներքին աուդիտի կոմիտեին, որ կազմակերպության ստորաբաժանումների ղեկավարները պատշաճորեն կատարում են իրենց վրա դրված պարտականությունները (ներքին հսկողության, ռիսկերի կառավարման և կառավարչական գործընթացների համակարգերի ներդնումը և պահպանումը),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Օժանդակի կազմակերպությանը լինել հաշվետու ողջ հանրության առջև՝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Օժանդակի Ղեկավարին հասնել իր առջև դրված նպատակներին՝ բարելավելով կազմակերպության համակարգերը և ծառայությունները,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Իր ներկայությամբ նվազեցնել խարդախության, վատնումների և այլ չարաշահման դեպքերի տեղի ունենալու հավանականությունը,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Ապահովի աուդիտորների վարքագծի համապատասխանությունը սահմանված վարքագծի կանոններին,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Ապահովի իր առնվազն մեկ աշխատակցի մշտապես ներկայությունը կազմակերպությունում (բացառությամբ գյուղական համայնքների), որը պատասխանատու է ներքին աուդիտի օրենսդրությամբ նախատեսված բոլոր պահանջների կատարման համար,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Ապահովի «Ներքին աուդիտի մասին» օրենքով աուդիտի ստորաբաժանման, ներառյալ՝ ստորաբաժանման ղեկավարի համար սահմանված իրավունքների և պարտականությունների կատարումը,</w:t>
      </w:r>
    </w:p>
    <w:p w:rsidR="00CC4E12" w:rsidRPr="00CC4E12" w:rsidRDefault="00CC4E12" w:rsidP="00CC4E12">
      <w:pPr>
        <w:numPr>
          <w:ilvl w:val="0"/>
          <w:numId w:val="8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Կատարի ներքին աուդիտի կոմիտեի քարտուղարի պարտականությունները, հաշվետու լինի Ղեկավարին և ներքին աուդիտի կոմիտեին, բացի ներքին աուդիտի գործունեության կառավարման գործառույթներից, չիրականացնի կազմակերպության կառավարման որևէ գործառույթ:</w:t>
      </w:r>
    </w:p>
    <w:p w:rsidR="00CC4E12" w:rsidRPr="00CC4E12" w:rsidRDefault="00CC4E12" w:rsidP="00CC4E12">
      <w:pPr>
        <w:spacing w:after="0" w:line="240" w:lineRule="auto"/>
        <w:ind w:left="360" w:firstLine="45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Նախկինում կատարած աուդիտորական աշխատանքների արդյունքները պետք է ընդունվեն ի գիտություն և հաշվի առնվեն հետագա աշխատանքներում: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lastRenderedPageBreak/>
        <w:t>ՆԵՐՔԻՆ ԱՈՒԴԻՏԻ ԵՆԹԱԿԱ ՄԻՋԱՎԱՅՐԸ</w:t>
      </w: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պետք է գնահատի կազմակերպության ներքին աուդիտի միջավայրը, որը ներառում է կազմակերպության ամբողջ համակարգը, ընդգրկում է կազմակերպության աուդիտի բոլոր հնարավոր գործառույթները, առաջադրանքներն ու աուդիտի ենթակա գործընթացները: Կատարողը իր աշխատանքների կազմակերպման փուլում, նախևառաջ, պետք է հստակ սահմանի կազմակերպության կառուցվածքը և կառուցվածքի տարրերի գործառույթները և դրանց նկարագրությունները՝ (Գործառույթը կամ գործընթացը կազմակերպության նպատակին հասնելուն ուղղված հաջորդական և փոխկապակցված գործողությունների, դրանց կատարման պայմանների և անհրաժեշտ ռեսուրսների ամբողջությունն է):</w:t>
      </w:r>
    </w:p>
    <w:p w:rsidR="00CC4E12" w:rsidRPr="00CC4E12" w:rsidRDefault="00CC4E12" w:rsidP="00CC4E12">
      <w:pPr>
        <w:spacing w:after="0" w:line="240" w:lineRule="auto"/>
        <w:ind w:left="426" w:firstLine="567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numPr>
          <w:ilvl w:val="0"/>
          <w:numId w:val="7"/>
        </w:num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ԿԱՏԱՐՈՂԻՆ և ՎԵՐՋԻՆԻՍ ԿՈՂՄԻՑ ՄԱՏՈՒՑՎՈՂ ՆԵՐՔԻՆ ԱՈՒԴԻՏԻ ԾԱՌԱՅՈՒԹՅԱՆ ՆԿԱՏՄԱՄԲ ՆԵՐԿԱՅԱՑՎՈՂ ԸՆԴՀԱՆՈՒՐ ՊԱՀԱՆՋՆԵՐԸ</w:t>
      </w:r>
    </w:p>
    <w:p w:rsidR="00CC4E12" w:rsidRPr="00CC4E12" w:rsidRDefault="00CC4E12" w:rsidP="00CC4E12">
      <w:pPr>
        <w:spacing w:after="0" w:line="240" w:lineRule="auto"/>
        <w:ind w:left="990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numPr>
          <w:ilvl w:val="1"/>
          <w:numId w:val="1"/>
        </w:num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Ձեռքբերվող ծառայության նկարագիրը</w:t>
      </w:r>
    </w:p>
    <w:p w:rsidR="00CC4E12" w:rsidRPr="00CC4E12" w:rsidRDefault="00CC4E12" w:rsidP="00CC4E12">
      <w:pPr>
        <w:numPr>
          <w:ilvl w:val="0"/>
          <w:numId w:val="3"/>
        </w:numPr>
        <w:spacing w:after="0" w:line="240" w:lineRule="auto"/>
        <w:ind w:left="426" w:firstLine="654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Կատարողը պարտավոր է Պայմանագրի ուժի մեջ մտնելու օրվանից ձեռնարկի ներքին աուդիտի մասին օրենսդրությամբ սահմանված բոլոր այն գործողությունների կատարումն այնպիսի ժամկետներում, որպեսզի՝ 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2024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-2025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թվականը</w:t>
      </w: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 ընդգրկող ժամանակահատվածից սկսած մինչև 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մատուցումը,</w:t>
      </w:r>
    </w:p>
    <w:p w:rsidR="00CC4E12" w:rsidRPr="00CC4E12" w:rsidRDefault="00CC4E12" w:rsidP="00CC4E12">
      <w:pPr>
        <w:numPr>
          <w:ilvl w:val="0"/>
          <w:numId w:val="3"/>
        </w:num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պարտավոր է՝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Կազմել և Ղեկավարի հաստատմանը ներկայացնել ներքին աուդիտի կանոնակարգը և դրա փոփոխությունները, որում անհրաժեշտ է սահմանել այն դրույթները, որոնք ենթակա են պարտադիր կատարման ողջ կազմակերպության համար և պետք է արտացոլեն աուդիտի իրականացման բոլոր փուլերը և այն հարցերը, որոնք նպաստում են ներքին աուդիտի աշխատանքների կազմակերպմանը, ինչպես նաև Միավորների կողմից իրականացվող այն գործողությունները, որոնք ենթակա են ներքին աուդիտին,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Իրականացնել արդյունավետ ներքին աուդիտ՝ գնահատելով ֆինանսական կառավարման, հսկողության համակարգերի արդյունավետությունը և համապատասխանությունը հետևյալ պայմաններին՝ 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Կազմակերպության ղեկավարության կողմից ռիսկերի բացահայտում, գնահատում և կառավարում, մասնավորապես՝ Ղեկավարի կողմից կատարված ռիսկերի գնահատման հավաստիությունը, Ղեկավարի կողմից իրականացվող ռիսկերի դիտարկումը և արդյունքների ներկայացումը, ինչպես նաև ռիսկերի և հսկողության համակարգի հետ կապված խնդիրների լուծումը, Ղեկավարի կողմից ներկայացված հաշվետվություններն այն դեպքերի վերաբերյալ, երբ ռիսկերը գերազանցել են դրանց ընդունելի միջակայքը, և այդ հաշվետվություններին կազմակերպության ստորաբաժանումների ղեկավարների արձագանքը,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Հայաստանի Հանրապետության օրենսդրությանը և կազմակերպության գործունեությանն առնչվող այլ պայմաններին (պայմանագրերին, գերատեսչական նորմատիվ ակտերին և այ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լ</w:t>
      </w: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նին) համապատասխանություն,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Տնտեսող, արդյունավետ և օգտավետ գործառույթներ,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Տեղեկությունների վստահելիություն և ամբողջականություն,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Կորուստներից, չարաշահումներից և վնասներից ակտիվների ու ռեսուրսների պահպանման հուսալիություն,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Առաջադրանքների կատարում և նպատակների իրագործում: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Տրամադրել,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Հավաստիացում առ այն, որ կազմակերպությունում առկա կառավարչական և իրականացվող ռիսկերի կառավարման գործընթացները համապատասխանում են /չեն համապատասխանում/ մասամբ են համապատասխանում նշանակալի ռիսկերի բացահայտման և դիտարկման նպատակին,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Հաստատում առ այն, որ ներդրված ներքին հսկողական համակարգերը գործում են / չեն գործում արդյունավետ կերպով,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Հավաստիացում առ այն, որ ռիսկերի կառավարման հաշվետվողականության գործընթացները հուսալի են / հուսալի չեն,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 Հաստատում առ այն, որ  Ղեկավարը կազմակերպության այլ պաշտոնատար անձանցից ստանում է / չի ստանում/ մասամբ է ստանում պատշաճ որակի և հուսալի տեղեկատվություն,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Առաջարկություններ՝ ուղղված հսկողական համակարգերի և ռիսկերի կառավարման ընթացակարգերի բարելավմանը և հսկողական համակարգերում բացահայտված թերությունների շտկմանը,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Եզրակացություն ենթակա Միավորների նկատմամբ հսկողության վերաբերյալ,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Եզրակացություն կազմակերպության կառուցվածքային և առանձնացված ստորաբաժանումների մակարդակով և ընդհանուր համակարգի հսկողության վերաբերյալ,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Եզրակացություն կապալառուների կամ ծառայություն մատուցողների հսկողության համակարգերի վերաբերյալ, եթե այդ հսկողությունն էական է կազմակերպության նպատակների իրագործման համար,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Կազմել և Ղեկավարին ու ներքին աուդիտի կոմիտեին ներկայացնել ներքին աուդիտի մասին օրենսդրությամբ նախատեսված հաշվետվությունները.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Իրականացված աուդիտորական առաջադրանքների արդյունքների վերաբերյալ պարբերական հաշվետվություններ, որը կներառի՝ ինչպիսի աշխատանք է կատարվել և որն է այդ աշխատանքների կատարման պատճառը, ներքին աուդիտի շրջանակներում հայտնաբերված բոլոր բացահայտումները և եզրակացությունները, կառուցողական առաջարկություններ՝ կազմակերպության գործունեությունը բարելավելու հարցում՝ Ղեկավարին օգնելու նպատակով,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Ներքին աուդիտի գործունեության արդյունքների վերաբերյալ տարեկան հաշվետվություն,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Տարեկան առնվազն մեկ անգամ ներքին աուդիտի որակի երաշխավորման և բարելավման ծրագրի կատարման վերաբերյալ հաշվետվություն, ներառյալ ներքին գնահատման արդյունքները, միջոցառումների անհրաժեշտ ծրագրերը և դրանց իրականացման արդյունքները,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Իրականացնել վերստուգման գործընթաց՝ աուդիտի ենթարկվող Միավորի ղեկավարության կողմից իրականացված՝ աուդիտի արդյունքում բացահայտված թերությունների շտկման գործողությունների համապատասխանությունը, արդյունավետությունը և ժամանակին լինելը գնահատելու նպատակով և պարզելու թե 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արդյունքները, թե Ղեկավարը և ներքին աուդիտի կոմիտեն իրենց վրա են վերցրել առաջադրանքի արդյունքներից բխող միջոցառումների չիրականացման ռիսկերը: Վերստուգման գործողությունները պետք է պատշաճորեն փաստաթղթավորվեն:</w:t>
      </w:r>
    </w:p>
    <w:p w:rsidR="00CC4E12" w:rsidRPr="00CC4E12" w:rsidRDefault="00CC4E12" w:rsidP="00CC4E12">
      <w:pPr>
        <w:spacing w:after="0" w:line="240" w:lineRule="auto"/>
        <w:ind w:left="45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պետք է հատուկ ուշադրություն դարձնի այն առաջարկություններին, որոնց մասով ղեկավարությունն ստանձնել է  մնացորդային ռիսկ, և պատշաճ կերպով փաստաթղթավորի  այդ  դեպքերը.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Կազմակերպել աշխատանքային փաստաթղթերի պատշաճ փաստաթղթավորում և պահպանում,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Կազմել ներքին աուդիտի որակի երաշխավորման և բարելավման ծրագիր, ապահովել դրա կատարումը, որը Ղեկավարին, ներքին աուդիտի կոմիտեին և այլ շահագրգիռ կողմերին կտրամադրի հիմնավորված հավաստիացում, որ ներքին աուդիտը գործում է արդյունավետ և օգտավետ, իր կանոնակարգի համաձայն, որն իր հերթին համապատասխանում է «Ներքին աուդիտի մասին» օրենքին, ստանդարտներին և վարքագծի կանոններին, ինչպես նաև ներքին աուդիտը դիտվում է  որպես կազմակերպության գործառույթները բարելավող գործունեություն,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Ներքին աուդիտի համագործակցությունն այլ ներքին և արտաքին հավաստիացումներ տրամադրողների հետ,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պետք է համագործակցի ներքին հավաստիացումներ տրամադրողների հետ՝ անհրաժեշտ տեղեկատվություն ստանալու և գործողությունների կրկնությունը բացառելու նպատակով,</w:t>
      </w:r>
    </w:p>
    <w:p w:rsidR="00CC4E12" w:rsidRPr="00CC4E12" w:rsidRDefault="00CC4E12" w:rsidP="00CC4E12">
      <w:pPr>
        <w:numPr>
          <w:ilvl w:val="0"/>
          <w:numId w:val="5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Ղեկավարի հանձնարարությամբ Կատարողը պետք է համագործակցի հանրային հատվածի կազմակերպություններում օրենքով սահմանված կարգով հսկողություն (վերահսկողություն) իրականացնող պետական կառավարման համակարգի մարմինների և ՀՀ հաշվեքննիչ պալատի հետ՝ նրանց աջակցելու և համապատասխան տեղեկատվություն տրամադրելու նպատակով:</w:t>
      </w:r>
    </w:p>
    <w:p w:rsidR="00CC4E12" w:rsidRPr="00CC4E12" w:rsidRDefault="00CC4E12" w:rsidP="00CC4E12">
      <w:pPr>
        <w:numPr>
          <w:ilvl w:val="0"/>
          <w:numId w:val="4"/>
        </w:num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Կատարողը պետք է իրականացնի ներքին աուդիտ՝ հավաստիացման կամ խորհրդատվական ծառայությունների մատուցման միջոցով: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Հավաստիացման ծառայությունների համար նշանակված աուդիտորական առաջադրանքն իրականացվում է համակարգային մոտեցմամբ՝ համապատասխանության </w:t>
      </w: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աուդիտի կամ կատարողականի աուդիտի միջոցով կամ համապատասխանության և կատարողականի աուդիտի տեսակների համակցությամբ: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Համապատասխանության աուդիտը կամ իրավական աուդիտը նախատեսված է օրենքներին, այլ իրավական ակտերին, ինչպես նաև կազմակերպության գործունեությանն առնչվող այլ պայմաններին (պայմանագրերին, գերատեսչական նորմատիվ ակտերին և այլնին) կազմակերպության գործունեության համապատասխանությունը պարզելու համար: Այս դեպքում, շեշտը դրվում է ոչ միայն ներքին հսկողության տարբեր գործընթացների արդյունավետության գնահատման, այլ նաև օրենքներին, այլ իրավական ակտերին և այլ պայմաններին կազմակերպության գործունեության համապատասխանության վերաբերյալ ղեկավարությանը հավաստիացման տրամադրման վրա:</w:t>
      </w:r>
    </w:p>
    <w:p w:rsidR="00CC4E12" w:rsidRPr="00CC4E12" w:rsidRDefault="00CC4E12" w:rsidP="00CC4E12">
      <w:pPr>
        <w:spacing w:after="0" w:line="240" w:lineRule="auto"/>
        <w:ind w:left="450" w:firstLine="72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Կատարողականի աուդիտը նախատեսված է գործընթացները գնահատել տնտեսելու, օգտավետության և արդյունավետության տեսանկյունից: Կատարողականի աուդիտն ուսումնասիրում է ծառայության մատուցումը այս երեք հատկանիշների տեսանկյունից: Այն կարող է նաև ընդգրկել ծառայությունների համեմատումը համանման կազմակերպությունների կողմից մատուցված ծառայությունների հետ՝ որակի և ծախսերի տեսանկյունից: Համապատասխանության և կատարողականի աուդիտի տեսակների համակցության տարատեսակներից են՝ համակարգի գնահատման, ֆինանսական, տեղեկատվական տեխնոլոգիաների և այլ աուդիտները:</w:t>
      </w:r>
    </w:p>
    <w:p w:rsidR="00CC4E12" w:rsidRPr="00CC4E12" w:rsidRDefault="00CC4E12" w:rsidP="00CC4E12">
      <w:pPr>
        <w:spacing w:after="0" w:line="240" w:lineRule="auto"/>
        <w:ind w:left="144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4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  <w:t>ՆԵՐՔԻՆ ԱՈՒԴԻՏԻ ԾԱՌԱՅՈՒԹՅՈՒՆ ՄԱՏՈՒՑՈՂ ԿԱՏԱՐՈՂԻ ՆԿԱՏՄԱՄԲ ԸՆԴՀԱՆՈՒՐ ՊԱՀԱՆՋՆԵՐԸ</w:t>
      </w:r>
    </w:p>
    <w:p w:rsidR="00CC4E12" w:rsidRPr="00CC4E12" w:rsidRDefault="00CC4E12" w:rsidP="00CC4E12">
      <w:pPr>
        <w:spacing w:after="0" w:line="240" w:lineRule="auto"/>
        <w:ind w:left="540" w:firstLine="630"/>
        <w:jc w:val="both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ա) Կատարողը պետք է ընդգրկված լինի Լիազոր մարմնի կողմից վարվող՝ հանրային հատվածում ներքին աուդիտ իրականացնելու համար որակավորում ունեցող կազմակերպությունների ցանկում,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 xml:space="preserve">բ) Կատարողի՝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որակավորում, աուդիտի ոլորտում (ներքին և (կամ) արտաքին) մասնագիտական գործունեության առնվազն 3 տարվա փորձ, համատեղությամբ չաշխատեն ներքին և/կամ արտաքին աուդիտի ծառայություններ մատուցող այլ կազմակերպություններում, կամ այլ կազմակերպություններում աշխատեն որպես ներքին աուդիտոր։ 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x-none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t>գ) Ներքին աուդիտի տարեկան ծրագիրը կազմելուց և անհրաժեշտ մարդկային ռեսուրսները հաշվարկելուց հետո՝ Կատարողն, անհրաժեշտության դեպքում, կարող է ներգրավել բ) կետում նշված չափանիշներին համապատասխանող լրացուցիչ աշխատանքային ռեսուրսներ: Նշվածի համար կատարողը պետք է ունենա ներքին աուդիտի մասին օրենսդրությամբ սահմանված կարգով հաշվարկված բ) կետում նշված չափանիշներին համապատասխանող, բավարար քանակությամբ մարդկային ռեսուրսներ՝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համար։</w:t>
      </w:r>
    </w:p>
    <w:p w:rsidR="00CC4E12" w:rsidRPr="00CC4E12" w:rsidRDefault="00CC4E12" w:rsidP="00CC4E12">
      <w:pPr>
        <w:spacing w:after="0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x-none" w:eastAsia="ru-RU"/>
        </w:rPr>
        <w:lastRenderedPageBreak/>
        <w:t>Կատարողը ներքին աուդիտի աշխատանքները պետք է կատարի ներքին աուդիտի մասին Հայաստանի Հանրապետության օրենսդրության պահանջներին և Հայաստանի Հանրապետության ներքին աուդիտի մասնագիտական գործունեության ստանդարտներին համապատասխան և պահպանի ներքին աուդիտորի վարքագծի կանոնները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5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  <w:t>ԾԱՌԱՅՈՒԹՅԱՆ ԳՆՄԱՆ ԺԱՄԱՆԱԿԱՑՈՒՅՑԸ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x-none" w:eastAsia="ru-RU"/>
        </w:rPr>
      </w:pPr>
    </w:p>
    <w:p w:rsidR="00CC4E12" w:rsidRPr="00CC4E12" w:rsidRDefault="00CC4E12" w:rsidP="00CC4E12">
      <w:pPr>
        <w:spacing w:after="0" w:line="240" w:lineRule="auto"/>
        <w:ind w:left="709" w:firstLine="284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Ծառայության մատուցումն իրականացվում է պայմանագիրն  ուժի մեջ մտնելու օրվանից մինչև 202</w:t>
      </w:r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6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թվականի դեկտեմբերի 25-ը: </w:t>
      </w:r>
    </w:p>
    <w:p w:rsidR="00CC4E12" w:rsidRPr="00CC4E12" w:rsidRDefault="00CC4E12" w:rsidP="00CC4E12">
      <w:pPr>
        <w:spacing w:after="0" w:line="240" w:lineRule="auto"/>
        <w:ind w:left="709" w:firstLine="284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6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 ԾԱՌԱՅՈՒԹՅԱՆ ԸՆԴՈՒՆՄԱՆ ԵՎ ՎՃԱՐՄԱՆ ԺԱՄԱՆԱԿԱՑՈՒՅՑԸ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Պայմանագրի կատարումն ընդունելու նպատակով յուրաքանչյուր հանձնման-ընդունման արձանագրության հետ մեկտեղ Կատարողը ներկայացնում է հաշվետվություն հաշվետու ժամանակահատվածում մատուցված ծառայության մասին՝ նշելով ծառայություն մատուցողի անունը, ծառայության բնույթը, բովանդակությունը և դրա փաստաթղթավորված արդյունքը: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Պատվիրատուի կողմից հաշվետվությունը քննարկվում և հաստատվում կամ առարկություններով կատարողին վերադարձվում է այն ստանալուն հաջորդող 10 աշխատանքային օրվա ընթացքում: Հաշվետվությունը հաստատվում է կազմակերպության ղեկավարի որոշմամբ, որի հիման վրա այն կայացվելուն հաջորդող երկու աշխատանքային օրվա ընթացքում պատասխանատու ստորաբաժանման ղեկավարը հաստատում է հանձնման-ընդունման արձանագրությունը: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Մատուցված ծառայության դիմաց վճարումներն իրականացվում են յուրաքանչյուր անգամ ներկայացված հաշվետվությունը հաստատվելու դեպքում՝ պայմանագրով նախատեսված վճարման ժամանակացույցով սահմանված ամսին: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Սույն տեխնիկական բնութագրի շրջանակում հաշվետու ժամանակահատված է համարվում 2024-2025 թվականները ընդգրկող ժամանակահատվածը. 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7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ԱՇԽԱՏԱՆՔԱՅԻՆ ՌԵՍՈՒՐՍՆԵՐԸ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Աշխատանքային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հայտարարություն՝ «Ներքին աուդիտի մասին» օրենքի 9-րդ հոդվածի 4-րդ մասով նախատեսված սահմանափակումների բացակայության մասին։</w:t>
      </w:r>
    </w:p>
    <w:p w:rsidR="00CC4E12" w:rsidRPr="00CC4E12" w:rsidRDefault="00CC4E12" w:rsidP="00CC4E12">
      <w:pPr>
        <w:spacing w:after="0" w:line="240" w:lineRule="auto"/>
        <w:ind w:left="540" w:firstLine="540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Մասնակիցը հայտով ներկայացնում է հայտարարություն այն մասին, որ ունի կնքվելիք պայմանագրի կատարման համար անհրաժեշտ աշխատանքային ռեսուրսներ։ </w:t>
      </w: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</w:pP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>8</w:t>
      </w:r>
      <w:r w:rsidRPr="00CC4E12">
        <w:rPr>
          <w:rFonts w:ascii="Cambria Math" w:eastAsia="Times New Roman" w:hAnsi="Cambria Math" w:cs="Cambria Math"/>
          <w:b/>
          <w:bCs/>
          <w:sz w:val="24"/>
          <w:szCs w:val="24"/>
          <w:u w:val="single"/>
          <w:lang w:val="hy-AM" w:eastAsia="ru-RU"/>
        </w:rPr>
        <w:t>․</w:t>
      </w:r>
      <w:r w:rsidRPr="00CC4E12"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 w:eastAsia="ru-RU"/>
        </w:rPr>
        <w:t xml:space="preserve"> ԱՅԼ ՏԵՂԵԿՈՒԹՅՈՒՆՆԵՐ</w:t>
      </w: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Cambria Math"/>
          <w:sz w:val="24"/>
          <w:szCs w:val="24"/>
          <w:lang w:val="hy-AM"/>
        </w:rPr>
      </w:pP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Cambria Math"/>
          <w:sz w:val="24"/>
          <w:szCs w:val="24"/>
          <w:lang w:val="hy-AM"/>
        </w:rPr>
        <w:lastRenderedPageBreak/>
        <w:t>10</w:t>
      </w:r>
      <w:r w:rsidRPr="00CC4E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1 Ներքին աուդիտի իրականացման հետ կապված բոլոր ծախսերը (գործուղում և այլն) ներառվում են ծառայության պայմանագրային գնի մեջ:</w:t>
      </w:r>
    </w:p>
    <w:p w:rsidR="00CC4E12" w:rsidRPr="00CC4E12" w:rsidRDefault="00CC4E12" w:rsidP="00CC4E12">
      <w:pPr>
        <w:spacing w:after="0" w:line="240" w:lineRule="auto"/>
        <w:ind w:left="540" w:firstLine="461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Cambria Math"/>
          <w:sz w:val="24"/>
          <w:szCs w:val="24"/>
          <w:lang w:val="hy-AM"/>
        </w:rPr>
        <w:t>10</w:t>
      </w:r>
      <w:r w:rsidRPr="00CC4E12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2 Ներքին աուդիտի հետ կապված հարաբերությունները կարգավորվում են այդ թվում հետևյալ իրավական ակտերով.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Sylfaen"/>
          <w:noProof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</w:rPr>
        <w:t>«Ներքին աուդիտի մասին» օրենք.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կառավարության 11.08.2011թ. N 1233-Ն որոշում.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ֆինանսների նախարարի 08.12.2011թ. N 974-Ն հրաման.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ֆինանսների նախարարի 17.02.2012թ. N 143-Ն հրաման. 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ՀՀ ֆինանսների նախարարի 23.02.2012թ. N 165-Ն հրաման. 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կառավարության 31.05.2012թ. N 732-Ն որոշում.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ֆինանսների նախարարի 30.11.2012թ. N 1050-Ն հրաման.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ֆինանսների նախարարի 12.12.2012թ. N 1096-Ն հրաման.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կառավարության 08.08.2013թ. N 896-Ն որոշում.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կառավարության 13.02.2014թ. N 176-Ն որոշում.</w:t>
      </w:r>
    </w:p>
    <w:p w:rsidR="00CC4E12" w:rsidRPr="00CC4E12" w:rsidRDefault="00CC4E12" w:rsidP="00CC4E12">
      <w:pPr>
        <w:numPr>
          <w:ilvl w:val="0"/>
          <w:numId w:val="6"/>
        </w:numPr>
        <w:tabs>
          <w:tab w:val="left" w:pos="1530"/>
        </w:tabs>
        <w:spacing w:after="0" w:line="240" w:lineRule="auto"/>
        <w:ind w:hanging="9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sz w:val="24"/>
          <w:szCs w:val="24"/>
          <w:lang w:val="hy-AM"/>
        </w:rPr>
        <w:t>ՀՀ ֆինանսների նախարարի 21.08.2014թ. N 541-Ն հրաման:</w:t>
      </w:r>
      <w:r w:rsidRPr="00CC4E12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       </w:t>
      </w: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  <w:r w:rsidRPr="00CC4E12"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  <w:t xml:space="preserve">                       </w:t>
      </w: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</w:p>
    <w:p w:rsidR="00CC4E12" w:rsidRPr="00CC4E12" w:rsidRDefault="00CC4E12" w:rsidP="00CC4E12">
      <w:pPr>
        <w:tabs>
          <w:tab w:val="left" w:pos="1530"/>
        </w:tabs>
        <w:spacing w:after="0" w:line="240" w:lineRule="auto"/>
        <w:jc w:val="both"/>
        <w:rPr>
          <w:rFonts w:ascii="GHEA Grapalat" w:eastAsia="Times New Roman" w:hAnsi="GHEA Grapalat" w:cs="Times New Roman"/>
          <w:b/>
          <w:i/>
          <w:sz w:val="24"/>
          <w:szCs w:val="24"/>
          <w:lang w:val="hy-AM"/>
        </w:rPr>
      </w:pPr>
    </w:p>
    <w:p w:rsid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  <w:r w:rsidRPr="00CC4E12"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  <w:t>ԱՈՒԴԻՏԻ ԵՆԹԱՐԿՎՈՂ ՄԻԱՎՈՐՆԵՐԻ ՑԱՆԿԸ</w:t>
      </w:r>
    </w:p>
    <w:p w:rsid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p w:rsidR="00CC4E12" w:rsidRPr="00CC4E12" w:rsidRDefault="00CC4E12" w:rsidP="00CC4E1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u w:val="single"/>
          <w:lang w:val="hy-AM"/>
        </w:rPr>
      </w:pPr>
    </w:p>
    <w:tbl>
      <w:tblPr>
        <w:tblStyle w:val="TableNormal"/>
        <w:tblW w:w="11758" w:type="dxa"/>
        <w:tblInd w:w="-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4"/>
        <w:gridCol w:w="3696"/>
        <w:gridCol w:w="2319"/>
        <w:gridCol w:w="2032"/>
        <w:gridCol w:w="2022"/>
        <w:gridCol w:w="885"/>
      </w:tblGrid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spacing w:before="11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N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Միավորի անվանումը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</w:rPr>
              <w:t>Աուդիտի ենթակա ժամանակահատվածը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</w:rPr>
              <w:t>Աուդիտորական խմբի անդամների քանակը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Նախատեսվող աշխատանքային օրերի քանակը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Մարդ-օրերի քանակը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37685C">
            <w:pPr>
              <w:spacing w:before="11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1.</w:t>
            </w:r>
          </w:p>
        </w:tc>
        <w:tc>
          <w:tcPr>
            <w:tcW w:w="3696" w:type="dxa"/>
          </w:tcPr>
          <w:p w:rsidR="00CC4E12" w:rsidRPr="00CC4E12" w:rsidRDefault="00CC4E12" w:rsidP="0037685C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սոցիալական կենտրոն ՀՈԱԿ</w:t>
            </w:r>
          </w:p>
        </w:tc>
        <w:tc>
          <w:tcPr>
            <w:tcW w:w="2319" w:type="dxa"/>
          </w:tcPr>
          <w:p w:rsidR="00CC4E12" w:rsidRPr="00CC4E12" w:rsidRDefault="00CC4E12" w:rsidP="0037685C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37685C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37685C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7</w:t>
            </w:r>
          </w:p>
        </w:tc>
        <w:tc>
          <w:tcPr>
            <w:tcW w:w="885" w:type="dxa"/>
          </w:tcPr>
          <w:p w:rsidR="00CC4E12" w:rsidRPr="00CC4E12" w:rsidRDefault="00CC4E12" w:rsidP="0037685C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21</w:t>
            </w:r>
          </w:p>
        </w:tc>
      </w:tr>
      <w:tr w:rsidR="00CC4E12" w:rsidRPr="00CC4E12" w:rsidTr="00CC4E12">
        <w:trPr>
          <w:trHeight w:val="950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2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310" w:lineRule="atLeas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համայնքապետարանի ֆինանսատնտեսագիտական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28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3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3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համայնքապետարանի աշխատակազմի ԿՄՍԱԵ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before="1" w:line="293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5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before="1" w:line="293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15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63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4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6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համայնքապետարանի աշխատակազմի քաղաքաշինության և հողաշինության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59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5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համայնքապետարանի աշխատակազմի եկամուտների  հաշվառման և հավաքագրման 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before="1"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8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before="1"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24</w:t>
            </w:r>
          </w:p>
        </w:tc>
      </w:tr>
      <w:tr w:rsidR="00CC4E12" w:rsidRPr="00CC4E12" w:rsidTr="00CC4E12">
        <w:trPr>
          <w:trHeight w:val="633"/>
        </w:trPr>
        <w:tc>
          <w:tcPr>
            <w:tcW w:w="804" w:type="dxa"/>
          </w:tcPr>
          <w:p w:rsidR="00CC4E12" w:rsidRPr="00CC4E12" w:rsidRDefault="00CC4E12" w:rsidP="00CC4E12">
            <w:pPr>
              <w:ind w:left="268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6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spacing w:line="298" w:lineRule="exact"/>
              <w:ind w:left="105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Ապարանի համայնքապետարանի աշխատակազմի ԶԾՏԱՍԳ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2024 թ.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8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7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7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21</w:t>
            </w:r>
          </w:p>
        </w:tc>
      </w:tr>
      <w:tr w:rsidR="00CC4E12" w:rsidRPr="00CC4E12" w:rsidTr="00CC4E12">
        <w:trPr>
          <w:trHeight w:val="1262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lastRenderedPageBreak/>
              <w:t>7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համայնքապետարանի աշխատակազմի գյուղատնտեսության, բնապահպանության և կոմունալ տնտեսության բաժին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1262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8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Ապարանի անկապատանեկան մարզադպրոց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557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9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թիվ 2 մանկապարտեզ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551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10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թիվ 1 մանկապարտեզ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418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11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արվեստի դպրոց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439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12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Քուչակի մանկապարտեզ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  <w:tr w:rsidR="00CC4E12" w:rsidRPr="00CC4E12" w:rsidTr="00CC4E12">
        <w:trPr>
          <w:trHeight w:val="603"/>
        </w:trPr>
        <w:tc>
          <w:tcPr>
            <w:tcW w:w="804" w:type="dxa"/>
          </w:tcPr>
          <w:p w:rsidR="00CC4E12" w:rsidRPr="00CC4E12" w:rsidRDefault="00CC4E12" w:rsidP="00CC4E12">
            <w:pPr>
              <w:spacing w:before="225"/>
              <w:jc w:val="center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13</w:t>
            </w:r>
          </w:p>
        </w:tc>
        <w:tc>
          <w:tcPr>
            <w:tcW w:w="3696" w:type="dxa"/>
          </w:tcPr>
          <w:p w:rsidR="00CC4E12" w:rsidRPr="00CC4E12" w:rsidRDefault="00CC4E12" w:rsidP="00CC4E12">
            <w:pPr>
              <w:ind w:left="105" w:firstLine="62"/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szCs w:val="24"/>
                <w:lang w:val="hy-AM"/>
              </w:rPr>
              <w:t>Ապարան համայնքի Հարթավանի Մանկապարտեզ ՀՈԱԿ</w:t>
            </w:r>
          </w:p>
        </w:tc>
        <w:tc>
          <w:tcPr>
            <w:tcW w:w="2319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2025թ</w:t>
            </w:r>
          </w:p>
        </w:tc>
        <w:tc>
          <w:tcPr>
            <w:tcW w:w="2032" w:type="dxa"/>
          </w:tcPr>
          <w:p w:rsidR="00CC4E12" w:rsidRPr="00CC4E12" w:rsidRDefault="00CC4E12" w:rsidP="00CC4E12">
            <w:pPr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CC4E1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</w:t>
            </w:r>
          </w:p>
        </w:tc>
        <w:tc>
          <w:tcPr>
            <w:tcW w:w="2022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10</w:t>
            </w:r>
          </w:p>
        </w:tc>
        <w:tc>
          <w:tcPr>
            <w:tcW w:w="885" w:type="dxa"/>
          </w:tcPr>
          <w:p w:rsidR="00CC4E12" w:rsidRPr="00CC4E12" w:rsidRDefault="00CC4E12" w:rsidP="00CC4E12">
            <w:pPr>
              <w:spacing w:line="298" w:lineRule="exact"/>
              <w:ind w:right="93"/>
              <w:jc w:val="center"/>
              <w:rPr>
                <w:rFonts w:ascii="GHEA Grapalat" w:eastAsia="Sylfaen" w:hAnsi="GHEA Grapalat" w:cs="Sylfaen"/>
                <w:sz w:val="20"/>
                <w:lang w:val="hy-AM"/>
              </w:rPr>
            </w:pPr>
            <w:r w:rsidRPr="00CC4E12">
              <w:rPr>
                <w:rFonts w:ascii="GHEA Grapalat" w:eastAsia="Sylfaen" w:hAnsi="GHEA Grapalat" w:cs="Sylfaen"/>
                <w:sz w:val="20"/>
                <w:lang w:val="hy-AM"/>
              </w:rPr>
              <w:t>30</w:t>
            </w:r>
          </w:p>
        </w:tc>
      </w:tr>
    </w:tbl>
    <w:p w:rsidR="00CC4E12" w:rsidRPr="00CC4E12" w:rsidRDefault="00CC4E12" w:rsidP="00CC4E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y-AM"/>
        </w:rPr>
      </w:pPr>
    </w:p>
    <w:p w:rsidR="00493AD8" w:rsidRDefault="00493AD8">
      <w:pPr>
        <w:rPr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96D0B" w:rsidRPr="00796D0B" w:rsidTr="0037685C">
        <w:trPr>
          <w:jc w:val="center"/>
        </w:trPr>
        <w:tc>
          <w:tcPr>
            <w:tcW w:w="4536" w:type="dxa"/>
          </w:tcPr>
          <w:p w:rsidR="00796D0B" w:rsidRPr="00796D0B" w:rsidRDefault="00796D0B" w:rsidP="00796D0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nb-NO"/>
              </w:rPr>
            </w:pPr>
            <w:r w:rsidRPr="00796D0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nb-NO"/>
              </w:rPr>
              <w:t>ՊԱՏՎԻՐԱՏՈՒ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Ապարանի համայնքապետարան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Ք. Ապարան, Բաղրամյան 26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ՀՎՀՀ 05028552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ՀՀ Ֆին. Նախ. Գործառնական վարչություն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ՀՀ 9004521</w:t>
            </w:r>
            <w:r>
              <w:rPr>
                <w:rFonts w:ascii="Calibri" w:eastAsia="Times New Roman" w:hAnsi="Calibri" w:cs="Calibri"/>
                <w:lang w:val="hy-AM"/>
              </w:rPr>
              <w:t>51039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hy-AM"/>
              </w:rPr>
            </w:pPr>
            <w:r w:rsidRPr="00796D0B">
              <w:rPr>
                <w:rFonts w:ascii="Calibri" w:eastAsia="Times New Roman" w:hAnsi="Calibri" w:cs="Calibri"/>
                <w:lang w:val="hy-AM"/>
              </w:rPr>
              <w:t>Համայնքի ղեկավար՝ Կ. Եղիազարյան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  <w:r w:rsidRPr="00796D0B">
              <w:rPr>
                <w:rFonts w:ascii="Calibri" w:eastAsia="Times New Roman" w:hAnsi="Calibri" w:cs="Calibri"/>
                <w:sz w:val="24"/>
                <w:szCs w:val="24"/>
                <w:lang w:val="ru-RU"/>
              </w:rPr>
              <w:t>---------------------------------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ru-RU"/>
              </w:rPr>
            </w:pPr>
            <w:r w:rsidRPr="00796D0B">
              <w:rPr>
                <w:rFonts w:ascii="Calibri" w:eastAsia="Times New Roman" w:hAnsi="Calibri" w:cs="Calibri"/>
                <w:sz w:val="18"/>
                <w:szCs w:val="18"/>
                <w:lang w:val="ru-RU"/>
              </w:rPr>
              <w:t>/ստորագրություն/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val="ru-RU"/>
              </w:rPr>
            </w:pPr>
            <w:r w:rsidRPr="00796D0B">
              <w:rPr>
                <w:rFonts w:ascii="Calibri" w:eastAsia="Times New Roman" w:hAnsi="Calibri" w:cs="Calibri"/>
                <w:sz w:val="18"/>
                <w:szCs w:val="18"/>
                <w:lang w:val="ru-RU"/>
              </w:rPr>
              <w:t>Կ.Տ</w:t>
            </w:r>
          </w:p>
        </w:tc>
        <w:tc>
          <w:tcPr>
            <w:tcW w:w="760" w:type="dxa"/>
          </w:tcPr>
          <w:p w:rsidR="00796D0B" w:rsidRPr="00796D0B" w:rsidRDefault="00796D0B" w:rsidP="00796D0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</w:p>
        </w:tc>
        <w:tc>
          <w:tcPr>
            <w:tcW w:w="4343" w:type="dxa"/>
          </w:tcPr>
          <w:p w:rsidR="00796D0B" w:rsidRPr="00796D0B" w:rsidRDefault="00796D0B" w:rsidP="00796D0B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u-RU"/>
              </w:rPr>
            </w:pPr>
            <w:r w:rsidRPr="00796D0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pt-BR"/>
              </w:rPr>
              <w:t>ԿԱՏԱՐՈՂ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val="ru-RU"/>
              </w:rPr>
            </w:pPr>
            <w:r w:rsidRPr="00796D0B">
              <w:rPr>
                <w:rFonts w:ascii="Calibri" w:eastAsia="Times New Roman" w:hAnsi="Calibri" w:cs="Calibri"/>
                <w:sz w:val="24"/>
                <w:szCs w:val="24"/>
                <w:lang w:val="ru-RU"/>
              </w:rPr>
              <w:t>---------------------------------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796D0B">
              <w:rPr>
                <w:rFonts w:ascii="Calibri" w:eastAsia="Times New Roman" w:hAnsi="Calibri" w:cs="Calibri"/>
                <w:sz w:val="18"/>
                <w:szCs w:val="18"/>
              </w:rPr>
              <w:t>/</w:t>
            </w:r>
            <w:r w:rsidRPr="00796D0B">
              <w:rPr>
                <w:rFonts w:ascii="Calibri" w:eastAsia="Times New Roman" w:hAnsi="Calibri" w:cs="Calibri"/>
                <w:sz w:val="18"/>
                <w:szCs w:val="18"/>
                <w:lang w:val="ru-RU"/>
              </w:rPr>
              <w:t>ստորագրություն</w:t>
            </w:r>
            <w:r w:rsidRPr="00796D0B">
              <w:rPr>
                <w:rFonts w:ascii="Calibri" w:eastAsia="Times New Roman" w:hAnsi="Calibri" w:cs="Calibri"/>
                <w:sz w:val="18"/>
                <w:szCs w:val="18"/>
              </w:rPr>
              <w:t>/</w:t>
            </w:r>
          </w:p>
          <w:p w:rsidR="00796D0B" w:rsidRPr="00796D0B" w:rsidRDefault="00796D0B" w:rsidP="00796D0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ru-RU"/>
              </w:rPr>
            </w:pPr>
            <w:r w:rsidRPr="00796D0B">
              <w:rPr>
                <w:rFonts w:ascii="Calibri" w:eastAsia="Times New Roman" w:hAnsi="Calibri" w:cs="Calibri"/>
                <w:sz w:val="18"/>
                <w:szCs w:val="18"/>
                <w:lang w:val="ru-RU"/>
              </w:rPr>
              <w:t>Կ.Տ</w:t>
            </w:r>
          </w:p>
        </w:tc>
      </w:tr>
    </w:tbl>
    <w:p w:rsidR="00CC4E12" w:rsidRDefault="00CC4E12">
      <w:pPr>
        <w:rPr>
          <w:lang w:val="hy-AM"/>
        </w:rPr>
      </w:pPr>
    </w:p>
    <w:p w:rsidR="00CC4E12" w:rsidRDefault="00CC4E12">
      <w:pPr>
        <w:rPr>
          <w:lang w:val="hy-AM"/>
        </w:rPr>
      </w:pPr>
    </w:p>
    <w:p w:rsidR="00CC4E12" w:rsidRPr="00CC4E12" w:rsidRDefault="00CC4E12">
      <w:pPr>
        <w:rPr>
          <w:lang w:val="hy-AM"/>
        </w:rPr>
      </w:pPr>
    </w:p>
    <w:sectPr w:rsidR="00CC4E12" w:rsidRPr="00CC4E12" w:rsidSect="00CC4E12">
      <w:pgSz w:w="12240" w:h="15840"/>
      <w:pgMar w:top="1440" w:right="758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47058"/>
    <w:multiLevelType w:val="hybridMultilevel"/>
    <w:tmpl w:val="83C6A8E8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3295330C"/>
    <w:multiLevelType w:val="hybridMultilevel"/>
    <w:tmpl w:val="026411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08E5BB8"/>
    <w:multiLevelType w:val="hybridMultilevel"/>
    <w:tmpl w:val="088E7BB2"/>
    <w:lvl w:ilvl="0" w:tplc="CCF8CBC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B63EA"/>
    <w:multiLevelType w:val="hybridMultilevel"/>
    <w:tmpl w:val="BE5080AC"/>
    <w:lvl w:ilvl="0" w:tplc="0409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60E57046"/>
    <w:multiLevelType w:val="multilevel"/>
    <w:tmpl w:val="88407E84"/>
    <w:lvl w:ilvl="0">
      <w:start w:val="1"/>
      <w:numFmt w:val="decimal"/>
      <w:lvlText w:val="%1."/>
      <w:lvlJc w:val="left"/>
      <w:pPr>
        <w:ind w:left="4754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6">
    <w:nsid w:val="64E72D4B"/>
    <w:multiLevelType w:val="hybridMultilevel"/>
    <w:tmpl w:val="871E1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E57F08"/>
    <w:multiLevelType w:val="multilevel"/>
    <w:tmpl w:val="88407E8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12"/>
    <w:rsid w:val="00493AD8"/>
    <w:rsid w:val="00796D0B"/>
    <w:rsid w:val="00B661FB"/>
    <w:rsid w:val="00CC4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12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C4E12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2026-07-24T09:07:00Z</dcterms:created>
  <dcterms:modified xsi:type="dcterms:W3CDTF">2026-07-24T14:31:00Z</dcterms:modified>
</cp:coreProperties>
</file>